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6B4" w:rsidRDefault="00E82530">
      <w:r>
        <w:rPr>
          <w:rFonts w:hint="eastAsia"/>
        </w:rPr>
        <w:t>性能向上</w:t>
      </w:r>
      <w:r w:rsidR="00BA015F">
        <w:rPr>
          <w:rFonts w:hint="eastAsia"/>
        </w:rPr>
        <w:t>認定申請</w:t>
      </w:r>
      <w:r w:rsidR="009176B4">
        <w:rPr>
          <w:rFonts w:hint="eastAsia"/>
        </w:rPr>
        <w:t>の手数料（高槻市手数料条例　別表第１３第</w:t>
      </w:r>
      <w:r w:rsidR="00121244">
        <w:rPr>
          <w:rFonts w:hint="eastAsia"/>
        </w:rPr>
        <w:t>４</w:t>
      </w:r>
      <w:r w:rsidR="009176B4">
        <w:rPr>
          <w:rFonts w:hint="eastAsia"/>
        </w:rPr>
        <w:t>項表抜粋）</w:t>
      </w:r>
    </w:p>
    <w:tbl>
      <w:tblPr>
        <w:tblW w:w="9776" w:type="dxa"/>
        <w:tblLayout w:type="fixed"/>
        <w:tblCellMar>
          <w:left w:w="0" w:type="dxa"/>
          <w:right w:w="0" w:type="dxa"/>
        </w:tblCellMar>
        <w:tblLook w:val="0000" w:firstRow="0" w:lastRow="0" w:firstColumn="0" w:lastColumn="0" w:noHBand="0" w:noVBand="0"/>
      </w:tblPr>
      <w:tblGrid>
        <w:gridCol w:w="325"/>
        <w:gridCol w:w="325"/>
        <w:gridCol w:w="1563"/>
        <w:gridCol w:w="6004"/>
        <w:gridCol w:w="1559"/>
      </w:tblGrid>
      <w:tr w:rsidR="001253CF" w:rsidRPr="001253CF" w:rsidTr="001253CF">
        <w:tblPrEx>
          <w:tblCellMar>
            <w:top w:w="0" w:type="dxa"/>
            <w:left w:w="0" w:type="dxa"/>
            <w:bottom w:w="0" w:type="dxa"/>
            <w:right w:w="0" w:type="dxa"/>
          </w:tblCellMar>
        </w:tblPrEx>
        <w:tc>
          <w:tcPr>
            <w:tcW w:w="3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center"/>
              <w:rPr>
                <w:rFonts w:ascii="ＭＳ 明朝" w:eastAsia="ＭＳ 明朝" w:hAnsi="ＭＳ 明朝" w:cs="ＭＳ 明朝"/>
                <w:color w:val="000000"/>
                <w:kern w:val="0"/>
                <w:sz w:val="20"/>
                <w:szCs w:val="20"/>
              </w:rPr>
            </w:pPr>
            <w:r w:rsidRPr="001253CF">
              <w:rPr>
                <w:rFonts w:ascii="ＭＳ 明朝" w:eastAsia="ＭＳ 明朝" w:hAnsi="ＭＳ 明朝" w:cs="ＭＳ 明朝" w:hint="eastAsia"/>
                <w:color w:val="000000"/>
                <w:kern w:val="0"/>
                <w:sz w:val="20"/>
                <w:szCs w:val="20"/>
              </w:rPr>
              <w:t>号</w:t>
            </w:r>
          </w:p>
        </w:tc>
        <w:tc>
          <w:tcPr>
            <w:tcW w:w="7892" w:type="dxa"/>
            <w:gridSpan w:val="3"/>
            <w:tcBorders>
              <w:top w:val="single" w:sz="4" w:space="0" w:color="000000"/>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center"/>
              <w:rPr>
                <w:rFonts w:ascii="ＭＳ 明朝" w:eastAsia="ＭＳ 明朝" w:hAnsi="ＭＳ 明朝" w:cs="ＭＳ 明朝"/>
                <w:color w:val="000000"/>
                <w:kern w:val="0"/>
                <w:sz w:val="20"/>
                <w:szCs w:val="20"/>
              </w:rPr>
            </w:pPr>
            <w:r w:rsidRPr="001253CF">
              <w:rPr>
                <w:rFonts w:ascii="ＭＳ 明朝" w:eastAsia="ＭＳ 明朝" w:hAnsi="ＭＳ 明朝" w:cs="ＭＳ 明朝" w:hint="eastAsia"/>
                <w:color w:val="000000"/>
                <w:kern w:val="0"/>
                <w:sz w:val="20"/>
                <w:szCs w:val="20"/>
              </w:rPr>
              <w:t>区分</w:t>
            </w:r>
          </w:p>
        </w:tc>
        <w:tc>
          <w:tcPr>
            <w:tcW w:w="1559" w:type="dxa"/>
            <w:vMerge w:val="restart"/>
            <w:tcBorders>
              <w:top w:val="single" w:sz="4" w:space="0" w:color="000000"/>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center"/>
              <w:rPr>
                <w:rFonts w:ascii="ＭＳ 明朝" w:eastAsia="ＭＳ 明朝" w:hAnsi="ＭＳ 明朝" w:cs="ＭＳ 明朝"/>
                <w:color w:val="000000"/>
                <w:kern w:val="0"/>
                <w:sz w:val="20"/>
                <w:szCs w:val="20"/>
              </w:rPr>
            </w:pPr>
            <w:r w:rsidRPr="001253CF">
              <w:rPr>
                <w:rFonts w:ascii="ＭＳ 明朝" w:eastAsia="ＭＳ 明朝" w:hAnsi="ＭＳ 明朝" w:cs="ＭＳ 明朝" w:hint="eastAsia"/>
                <w:color w:val="000000"/>
                <w:kern w:val="0"/>
                <w:sz w:val="20"/>
                <w:szCs w:val="20"/>
              </w:rPr>
              <w:t>金額</w:t>
            </w:r>
          </w:p>
        </w:tc>
      </w:tr>
      <w:tr w:rsidR="001253CF" w:rsidRPr="001253CF" w:rsidTr="001253CF">
        <w:tblPrEx>
          <w:tblCellMar>
            <w:top w:w="0" w:type="dxa"/>
            <w:left w:w="0" w:type="dxa"/>
            <w:bottom w:w="0" w:type="dxa"/>
            <w:right w:w="0" w:type="dxa"/>
          </w:tblCellMar>
        </w:tblPrEx>
        <w:tc>
          <w:tcPr>
            <w:tcW w:w="325" w:type="dxa"/>
            <w:vMerge/>
            <w:tcBorders>
              <w:top w:val="single" w:sz="4" w:space="0" w:color="000000"/>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888" w:type="dxa"/>
            <w:gridSpan w:val="2"/>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center"/>
              <w:rPr>
                <w:rFonts w:ascii="ＭＳ 明朝" w:eastAsia="ＭＳ 明朝" w:hAnsi="ＭＳ 明朝" w:cs="ＭＳ 明朝"/>
                <w:color w:val="000000"/>
                <w:kern w:val="0"/>
                <w:sz w:val="20"/>
                <w:szCs w:val="20"/>
              </w:rPr>
            </w:pPr>
            <w:r w:rsidRPr="001253CF">
              <w:rPr>
                <w:rFonts w:ascii="ＭＳ 明朝" w:eastAsia="ＭＳ 明朝" w:hAnsi="ＭＳ 明朝" w:cs="ＭＳ 明朝" w:hint="eastAsia"/>
                <w:color w:val="000000"/>
                <w:kern w:val="0"/>
                <w:sz w:val="20"/>
                <w:szCs w:val="20"/>
              </w:rPr>
              <w:t>建築物等</w:t>
            </w: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center"/>
              <w:rPr>
                <w:rFonts w:ascii="ＭＳ 明朝" w:eastAsia="ＭＳ 明朝" w:hAnsi="ＭＳ 明朝" w:cs="ＭＳ 明朝"/>
                <w:color w:val="000000"/>
                <w:kern w:val="0"/>
                <w:sz w:val="20"/>
                <w:szCs w:val="20"/>
              </w:rPr>
            </w:pPr>
            <w:r w:rsidRPr="001253CF">
              <w:rPr>
                <w:rFonts w:ascii="ＭＳ 明朝" w:eastAsia="ＭＳ 明朝" w:hAnsi="ＭＳ 明朝" w:cs="ＭＳ 明朝" w:hint="eastAsia"/>
                <w:color w:val="000000"/>
                <w:kern w:val="0"/>
                <w:sz w:val="20"/>
                <w:szCs w:val="20"/>
              </w:rPr>
              <w:t>建築物等の床面積の合計</w:t>
            </w:r>
          </w:p>
        </w:tc>
        <w:tc>
          <w:tcPr>
            <w:tcW w:w="1559" w:type="dxa"/>
            <w:vMerge/>
            <w:tcBorders>
              <w:top w:val="single" w:sz="4" w:space="0" w:color="000000"/>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center"/>
              <w:rPr>
                <w:rFonts w:ascii="ＭＳ 明朝" w:eastAsia="ＭＳ 明朝" w:hAnsi="ＭＳ 明朝" w:cs="ＭＳ 明朝"/>
                <w:color w:val="000000"/>
                <w:kern w:val="0"/>
                <w:sz w:val="20"/>
                <w:szCs w:val="20"/>
              </w:rPr>
            </w:pPr>
          </w:p>
        </w:tc>
      </w:tr>
      <w:tr w:rsidR="001253CF" w:rsidRPr="001253CF" w:rsidTr="001253CF">
        <w:tblPrEx>
          <w:tblCellMar>
            <w:top w:w="0" w:type="dxa"/>
            <w:left w:w="0" w:type="dxa"/>
            <w:bottom w:w="0" w:type="dxa"/>
            <w:right w:w="0" w:type="dxa"/>
          </w:tblCellMar>
        </w:tblPrEx>
        <w:tc>
          <w:tcPr>
            <w:tcW w:w="325" w:type="dxa"/>
            <w:vMerge w:val="restart"/>
            <w:tcBorders>
              <w:left w:val="single" w:sz="4" w:space="0" w:color="000000"/>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(1)</w:t>
            </w:r>
          </w:p>
        </w:tc>
        <w:tc>
          <w:tcPr>
            <w:tcW w:w="325" w:type="dxa"/>
            <w:vMerge w:val="restart"/>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hint="eastAsia"/>
                <w:color w:val="000000"/>
                <w:kern w:val="0"/>
                <w:sz w:val="20"/>
                <w:szCs w:val="20"/>
              </w:rPr>
              <w:t>非住宅建築物</w:t>
            </w:r>
          </w:p>
        </w:tc>
        <w:tc>
          <w:tcPr>
            <w:tcW w:w="1563" w:type="dxa"/>
            <w:vMerge w:val="restart"/>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hint="eastAsia"/>
                <w:color w:val="000000"/>
                <w:kern w:val="0"/>
                <w:sz w:val="20"/>
                <w:szCs w:val="20"/>
              </w:rPr>
              <w:t>登録住宅性能評価機関等が性能向上基準に適合すると認めた建築物等</w:t>
            </w: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300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11,300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300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1,000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19,400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1,000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2,000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31,</w:t>
            </w:r>
            <w:bookmarkStart w:id="0" w:name="_GoBack"/>
            <w:bookmarkEnd w:id="0"/>
            <w:r w:rsidRPr="001253CF">
              <w:rPr>
                <w:rFonts w:ascii="ＭＳ 明朝" w:eastAsia="ＭＳ 明朝" w:cs="ＭＳ 明朝"/>
                <w:color w:val="000000"/>
                <w:kern w:val="0"/>
                <w:sz w:val="20"/>
                <w:szCs w:val="20"/>
              </w:rPr>
              <w:t>400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2,000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5,000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93,300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5,000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10,000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147,400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10,000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25,000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186,100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25,000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50,000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232,500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50,000</w:t>
            </w:r>
            <w:r w:rsidRPr="001253CF">
              <w:rPr>
                <w:rFonts w:ascii="ＭＳ 明朝" w:eastAsia="ＭＳ 明朝" w:hAnsi="ＭＳ 明朝" w:cs="ＭＳ 明朝" w:hint="eastAsia"/>
                <w:color w:val="000000"/>
                <w:kern w:val="0"/>
                <w:sz w:val="20"/>
                <w:szCs w:val="20"/>
              </w:rPr>
              <w:t>平方メートル以上のもの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325,300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val="restart"/>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hint="eastAsia"/>
                <w:color w:val="000000"/>
                <w:kern w:val="0"/>
                <w:sz w:val="20"/>
                <w:szCs w:val="20"/>
              </w:rPr>
              <w:t>モデル建物法による評価をした建築物等</w:t>
            </w: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300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101,000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300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1,000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128,500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1,000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2,000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169,100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2,000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5,000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273,500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5,000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10,000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357,000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10,000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25,000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428,900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25,000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50,000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503,200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50,000</w:t>
            </w:r>
            <w:r w:rsidRPr="001253CF">
              <w:rPr>
                <w:rFonts w:ascii="ＭＳ 明朝" w:eastAsia="ＭＳ 明朝" w:hAnsi="ＭＳ 明朝" w:cs="ＭＳ 明朝" w:hint="eastAsia"/>
                <w:color w:val="000000"/>
                <w:kern w:val="0"/>
                <w:sz w:val="20"/>
                <w:szCs w:val="20"/>
              </w:rPr>
              <w:t>平方メートル以上のもの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651,600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val="restart"/>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hint="eastAsia"/>
                <w:color w:val="000000"/>
                <w:kern w:val="0"/>
                <w:sz w:val="20"/>
                <w:szCs w:val="20"/>
              </w:rPr>
              <w:t>その他の建築物等</w:t>
            </w: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300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263,400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300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1,000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329,900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1,000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2,000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425,800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2,000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5,000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607,600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5,000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10,000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748,300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10,000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25,000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884,400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25,000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50,000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1,008,900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50,000</w:t>
            </w:r>
            <w:r w:rsidRPr="001253CF">
              <w:rPr>
                <w:rFonts w:ascii="ＭＳ 明朝" w:eastAsia="ＭＳ 明朝" w:hAnsi="ＭＳ 明朝" w:cs="ＭＳ 明朝" w:hint="eastAsia"/>
                <w:color w:val="000000"/>
                <w:kern w:val="0"/>
                <w:sz w:val="20"/>
                <w:szCs w:val="20"/>
              </w:rPr>
              <w:t>平方メートル以上のもの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1,257,900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val="restart"/>
            <w:tcBorders>
              <w:left w:val="single" w:sz="4" w:space="0" w:color="000000"/>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(2)</w:t>
            </w:r>
          </w:p>
        </w:tc>
        <w:tc>
          <w:tcPr>
            <w:tcW w:w="325" w:type="dxa"/>
            <w:vMerge w:val="restart"/>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hint="eastAsia"/>
                <w:color w:val="000000"/>
                <w:kern w:val="0"/>
                <w:sz w:val="20"/>
                <w:szCs w:val="20"/>
              </w:rPr>
              <w:t>一戸建ての住宅</w:t>
            </w:r>
          </w:p>
        </w:tc>
        <w:tc>
          <w:tcPr>
            <w:tcW w:w="1563"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hint="eastAsia"/>
                <w:color w:val="000000"/>
                <w:kern w:val="0"/>
                <w:sz w:val="20"/>
                <w:szCs w:val="20"/>
              </w:rPr>
              <w:t>登録住宅性能評価機関等が性能向上基準に適合すると認めた建築物等</w:t>
            </w: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hint="eastAsia"/>
                <w:color w:val="000000"/>
                <w:kern w:val="0"/>
                <w:sz w:val="20"/>
                <w:szCs w:val="20"/>
              </w:rPr>
              <w:t>―</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5,900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val="restart"/>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hint="eastAsia"/>
                <w:color w:val="000000"/>
                <w:kern w:val="0"/>
                <w:sz w:val="20"/>
                <w:szCs w:val="20"/>
              </w:rPr>
              <w:t>誘導仕様基準による評価をした建築物等</w:t>
            </w: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200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20,600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200</w:t>
            </w:r>
            <w:r w:rsidRPr="001253CF">
              <w:rPr>
                <w:rFonts w:ascii="ＭＳ 明朝" w:eastAsia="ＭＳ 明朝" w:hAnsi="ＭＳ 明朝" w:cs="ＭＳ 明朝" w:hint="eastAsia"/>
                <w:color w:val="000000"/>
                <w:kern w:val="0"/>
                <w:sz w:val="20"/>
                <w:szCs w:val="20"/>
              </w:rPr>
              <w:t>平方メートル以上のもの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22,100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val="restart"/>
            <w:tcBorders>
              <w:bottom w:val="nil"/>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hint="eastAsia"/>
                <w:color w:val="000000"/>
                <w:kern w:val="0"/>
                <w:sz w:val="20"/>
                <w:szCs w:val="20"/>
              </w:rPr>
              <w:t>誘導基準併用法による評価をし</w:t>
            </w:r>
            <w:r w:rsidRPr="001253CF">
              <w:rPr>
                <w:rFonts w:ascii="ＭＳ 明朝" w:eastAsia="ＭＳ 明朝" w:hAnsi="ＭＳ 明朝" w:cs="ＭＳ 明朝" w:hint="eastAsia"/>
                <w:color w:val="000000"/>
                <w:kern w:val="0"/>
                <w:sz w:val="20"/>
                <w:szCs w:val="20"/>
              </w:rPr>
              <w:lastRenderedPageBreak/>
              <w:t>た建築物等</w:t>
            </w: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lastRenderedPageBreak/>
              <w:t>200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righ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29,900</w:t>
            </w:r>
            <w:r w:rsidRPr="001253CF">
              <w:rPr>
                <w:rFonts w:ascii="ＭＳ 明朝" w:eastAsia="ＭＳ 明朝" w:hAnsi="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top w:val="nil"/>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200</w:t>
            </w:r>
            <w:r w:rsidRPr="001253CF">
              <w:rPr>
                <w:rFonts w:ascii="ＭＳ 明朝" w:eastAsia="ＭＳ 明朝" w:hAnsi="ＭＳ 明朝" w:cs="ＭＳ 明朝" w:hint="eastAsia"/>
                <w:color w:val="000000"/>
                <w:kern w:val="0"/>
                <w:sz w:val="20"/>
                <w:szCs w:val="20"/>
              </w:rPr>
              <w:t>平方メートル以上のもの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righ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33,000</w:t>
            </w:r>
            <w:r w:rsidRPr="001253CF">
              <w:rPr>
                <w:rFonts w:ascii="ＭＳ 明朝" w:eastAsia="ＭＳ 明朝" w:hAnsi="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val="restart"/>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hint="eastAsia"/>
                <w:color w:val="000000"/>
                <w:kern w:val="0"/>
                <w:sz w:val="20"/>
                <w:szCs w:val="20"/>
              </w:rPr>
              <w:t>その他の建築物等</w:t>
            </w: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200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39,900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200</w:t>
            </w:r>
            <w:r w:rsidRPr="001253CF">
              <w:rPr>
                <w:rFonts w:ascii="ＭＳ 明朝" w:eastAsia="ＭＳ 明朝" w:hAnsi="ＭＳ 明朝" w:cs="ＭＳ 明朝" w:hint="eastAsia"/>
                <w:color w:val="000000"/>
                <w:kern w:val="0"/>
                <w:sz w:val="20"/>
                <w:szCs w:val="20"/>
              </w:rPr>
              <w:t>平方メートル以上のもの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44,600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val="restart"/>
            <w:tcBorders>
              <w:left w:val="single" w:sz="4" w:space="0" w:color="000000"/>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(3)</w:t>
            </w:r>
          </w:p>
        </w:tc>
        <w:tc>
          <w:tcPr>
            <w:tcW w:w="325" w:type="dxa"/>
            <w:vMerge w:val="restart"/>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hint="eastAsia"/>
                <w:color w:val="000000"/>
                <w:kern w:val="0"/>
                <w:sz w:val="20"/>
                <w:szCs w:val="20"/>
              </w:rPr>
              <w:t>共同住宅等</w:t>
            </w:r>
          </w:p>
        </w:tc>
        <w:tc>
          <w:tcPr>
            <w:tcW w:w="1563" w:type="dxa"/>
            <w:vMerge w:val="restart"/>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hint="eastAsia"/>
                <w:color w:val="000000"/>
                <w:kern w:val="0"/>
                <w:sz w:val="20"/>
                <w:szCs w:val="20"/>
              </w:rPr>
              <w:t>登録住宅性能評価機関等が性能向上基準に適合すると認めた建築物等</w:t>
            </w: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300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11,300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300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2,000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23,700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2,000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5,000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52,300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5,000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10,000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93,300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10,000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25,000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149,800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25,000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50,000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226,300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50,000</w:t>
            </w:r>
            <w:r w:rsidRPr="001253CF">
              <w:rPr>
                <w:rFonts w:ascii="ＭＳ 明朝" w:eastAsia="ＭＳ 明朝" w:hAnsi="ＭＳ 明朝" w:cs="ＭＳ 明朝" w:hint="eastAsia"/>
                <w:color w:val="000000"/>
                <w:kern w:val="0"/>
                <w:sz w:val="20"/>
                <w:szCs w:val="20"/>
              </w:rPr>
              <w:t>平方メートル以上のもの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343,100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val="restart"/>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hint="eastAsia"/>
                <w:color w:val="000000"/>
                <w:kern w:val="0"/>
                <w:sz w:val="20"/>
                <w:szCs w:val="20"/>
              </w:rPr>
              <w:t>誘導仕様基準による評価をした建築物等</w:t>
            </w: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300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38,400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300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2,000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66,200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2,000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5,000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119,600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5,000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10,000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180,700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10,000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25,000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331,500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25,000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50,000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560,400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50,000</w:t>
            </w:r>
            <w:r w:rsidRPr="001253CF">
              <w:rPr>
                <w:rFonts w:ascii="ＭＳ 明朝" w:eastAsia="ＭＳ 明朝" w:hAnsi="ＭＳ 明朝" w:cs="ＭＳ 明朝" w:hint="eastAsia"/>
                <w:color w:val="000000"/>
                <w:kern w:val="0"/>
                <w:sz w:val="20"/>
                <w:szCs w:val="20"/>
              </w:rPr>
              <w:t>平方メートル以上のもの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982,600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val="restart"/>
            <w:tcBorders>
              <w:bottom w:val="nil"/>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Arial" w:hAnsi="Arial" w:cs="Arial"/>
                <w:kern w:val="0"/>
                <w:sz w:val="24"/>
                <w:szCs w:val="24"/>
              </w:rPr>
            </w:pPr>
            <w:r w:rsidRPr="001253CF">
              <w:rPr>
                <w:rFonts w:ascii="ＭＳ 明朝" w:eastAsia="ＭＳ 明朝" w:hAnsi="ＭＳ 明朝" w:cs="ＭＳ 明朝" w:hint="eastAsia"/>
                <w:color w:val="000000"/>
                <w:kern w:val="0"/>
                <w:sz w:val="20"/>
                <w:szCs w:val="20"/>
              </w:rPr>
              <w:t>誘導基準併用法による評価をした建築物等</w:t>
            </w: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300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59,300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top w:val="nil"/>
              <w:bottom w:val="nil"/>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300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2,000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99,500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top w:val="nil"/>
              <w:bottom w:val="nil"/>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2,000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5,000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173,000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top w:val="nil"/>
              <w:bottom w:val="nil"/>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5,000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10,000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252,600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top w:val="nil"/>
              <w:bottom w:val="nil"/>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10,000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25,000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485,400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top w:val="nil"/>
              <w:bottom w:val="nil"/>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25,000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50,000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845,800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top w:val="nil"/>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50,000</w:t>
            </w:r>
            <w:r w:rsidRPr="001253CF">
              <w:rPr>
                <w:rFonts w:ascii="ＭＳ 明朝" w:eastAsia="ＭＳ 明朝" w:hAnsi="ＭＳ 明朝" w:cs="ＭＳ 明朝" w:hint="eastAsia"/>
                <w:color w:val="000000"/>
                <w:kern w:val="0"/>
                <w:sz w:val="20"/>
                <w:szCs w:val="20"/>
              </w:rPr>
              <w:t>平方メートル以上のもの</w:t>
            </w:r>
          </w:p>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1,530,900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val="restart"/>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hint="eastAsia"/>
                <w:color w:val="000000"/>
                <w:kern w:val="0"/>
                <w:sz w:val="20"/>
                <w:szCs w:val="20"/>
              </w:rPr>
              <w:t>その他の建築物等</w:t>
            </w: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300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80,200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300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2,000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133,500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2,000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5,000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227,100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5,000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10,000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325,300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10,000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25,000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640,100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25,000</w:t>
            </w:r>
            <w:r w:rsidRPr="001253CF">
              <w:rPr>
                <w:rFonts w:ascii="ＭＳ 明朝" w:eastAsia="ＭＳ 明朝" w:hAnsi="ＭＳ 明朝" w:cs="ＭＳ 明朝" w:hint="eastAsia"/>
                <w:color w:val="000000"/>
                <w:kern w:val="0"/>
                <w:sz w:val="20"/>
                <w:szCs w:val="20"/>
              </w:rPr>
              <w:t>平方メートル以上</w:t>
            </w:r>
            <w:r w:rsidRPr="001253CF">
              <w:rPr>
                <w:rFonts w:ascii="ＭＳ 明朝" w:eastAsia="ＭＳ 明朝" w:hAnsi="ＭＳ 明朝" w:cs="ＭＳ 明朝"/>
                <w:color w:val="000000"/>
                <w:kern w:val="0"/>
                <w:sz w:val="20"/>
                <w:szCs w:val="20"/>
              </w:rPr>
              <w:t>50,000</w:t>
            </w:r>
            <w:r w:rsidRPr="001253CF">
              <w:rPr>
                <w:rFonts w:ascii="ＭＳ 明朝" w:eastAsia="ＭＳ 明朝" w:hAnsi="ＭＳ 明朝" w:cs="ＭＳ 明朝" w:hint="eastAsia"/>
                <w:color w:val="000000"/>
                <w:kern w:val="0"/>
                <w:sz w:val="20"/>
                <w:szCs w:val="20"/>
              </w:rPr>
              <w:t>平方メートル未満のもの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1,131,900</w:t>
            </w:r>
            <w:r w:rsidRPr="001253CF">
              <w:rPr>
                <w:rFonts w:ascii="ＭＳ 明朝" w:eastAsia="ＭＳ 明朝" w:cs="ＭＳ 明朝" w:hint="eastAsia"/>
                <w:color w:val="000000"/>
                <w:kern w:val="0"/>
                <w:sz w:val="20"/>
                <w:szCs w:val="20"/>
              </w:rPr>
              <w:t>円</w:t>
            </w:r>
          </w:p>
        </w:tc>
      </w:tr>
      <w:tr w:rsidR="001253CF" w:rsidRPr="001253CF" w:rsidTr="001253CF">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jc w:val="left"/>
              <w:rPr>
                <w:rFonts w:ascii="Arial" w:hAnsi="Arial" w:cs="Arial"/>
                <w:kern w:val="0"/>
                <w:sz w:val="24"/>
                <w:szCs w:val="24"/>
              </w:rPr>
            </w:pPr>
          </w:p>
        </w:tc>
        <w:tc>
          <w:tcPr>
            <w:tcW w:w="6004" w:type="dxa"/>
            <w:tcBorders>
              <w:bottom w:val="single" w:sz="4" w:space="0" w:color="000000"/>
              <w:right w:val="single" w:sz="4" w:space="0" w:color="000000"/>
            </w:tcBorders>
            <w:shd w:val="clear" w:color="auto" w:fill="auto"/>
          </w:tcPr>
          <w:p w:rsidR="001253CF" w:rsidRPr="001253CF" w:rsidRDefault="001253CF"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1253CF">
              <w:rPr>
                <w:rFonts w:ascii="ＭＳ 明朝" w:eastAsia="ＭＳ 明朝" w:hAnsi="ＭＳ 明朝" w:cs="ＭＳ 明朝"/>
                <w:color w:val="000000"/>
                <w:kern w:val="0"/>
                <w:sz w:val="20"/>
                <w:szCs w:val="20"/>
              </w:rPr>
              <w:t>50,000</w:t>
            </w:r>
            <w:r w:rsidRPr="001253CF">
              <w:rPr>
                <w:rFonts w:ascii="ＭＳ 明朝" w:eastAsia="ＭＳ 明朝" w:hAnsi="ＭＳ 明朝" w:cs="ＭＳ 明朝" w:hint="eastAsia"/>
                <w:color w:val="000000"/>
                <w:kern w:val="0"/>
                <w:sz w:val="20"/>
                <w:szCs w:val="20"/>
              </w:rPr>
              <w:t>平方メートル以上のもの</w:t>
            </w:r>
          </w:p>
        </w:tc>
        <w:tc>
          <w:tcPr>
            <w:tcW w:w="1559" w:type="dxa"/>
            <w:tcBorders>
              <w:bottom w:val="single" w:sz="4" w:space="0" w:color="000000"/>
              <w:right w:val="single" w:sz="4" w:space="0" w:color="000000"/>
            </w:tcBorders>
            <w:shd w:val="clear" w:color="auto" w:fill="auto"/>
          </w:tcPr>
          <w:p w:rsidR="001253CF" w:rsidRPr="001253CF" w:rsidRDefault="001253CF"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1253CF">
              <w:rPr>
                <w:rFonts w:ascii="ＭＳ 明朝" w:eastAsia="ＭＳ 明朝" w:cs="ＭＳ 明朝"/>
                <w:color w:val="000000"/>
                <w:kern w:val="0"/>
                <w:sz w:val="20"/>
                <w:szCs w:val="20"/>
              </w:rPr>
              <w:t>2,080,000</w:t>
            </w:r>
            <w:r w:rsidRPr="001253CF">
              <w:rPr>
                <w:rFonts w:ascii="ＭＳ 明朝" w:eastAsia="ＭＳ 明朝" w:cs="ＭＳ 明朝" w:hint="eastAsia"/>
                <w:color w:val="000000"/>
                <w:kern w:val="0"/>
                <w:sz w:val="20"/>
                <w:szCs w:val="20"/>
              </w:rPr>
              <w:t>円</w:t>
            </w:r>
          </w:p>
        </w:tc>
      </w:tr>
    </w:tbl>
    <w:p w:rsidR="009176B4" w:rsidRDefault="009176B4"/>
    <w:sectPr w:rsidR="009176B4" w:rsidSect="009176B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3CF" w:rsidRDefault="001253CF" w:rsidP="001253CF">
      <w:r>
        <w:separator/>
      </w:r>
    </w:p>
  </w:endnote>
  <w:endnote w:type="continuationSeparator" w:id="0">
    <w:p w:rsidR="001253CF" w:rsidRDefault="001253CF" w:rsidP="0012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
    <w:panose1 w:val="020B0600070205080204"/>
    <w:charset w:val="80"/>
    <w:family w:val="modern"/>
    <w:pitch w:val="variable"/>
    <w:sig w:usb0="E00002FF" w:usb1="6AC7FDFB" w:usb2="08000012"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altName w:val="?????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3CF" w:rsidRDefault="001253CF" w:rsidP="001253CF">
      <w:r>
        <w:separator/>
      </w:r>
    </w:p>
  </w:footnote>
  <w:footnote w:type="continuationSeparator" w:id="0">
    <w:p w:rsidR="001253CF" w:rsidRDefault="001253CF" w:rsidP="001253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12"/>
    <w:rsid w:val="00121244"/>
    <w:rsid w:val="001253CF"/>
    <w:rsid w:val="009176B4"/>
    <w:rsid w:val="009E22A2"/>
    <w:rsid w:val="00A42E59"/>
    <w:rsid w:val="00BA015F"/>
    <w:rsid w:val="00BA4B12"/>
    <w:rsid w:val="00E82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62F0EC"/>
  <w15:chartTrackingRefBased/>
  <w15:docId w15:val="{9ECEF932-C815-40A2-B695-7B8F2F06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9176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9176B4"/>
  </w:style>
  <w:style w:type="character" w:customStyle="1" w:styleId="brackets-color1">
    <w:name w:val="brackets-color1"/>
    <w:basedOn w:val="a0"/>
    <w:rsid w:val="009176B4"/>
  </w:style>
  <w:style w:type="paragraph" w:styleId="a3">
    <w:name w:val="header"/>
    <w:basedOn w:val="a"/>
    <w:link w:val="a4"/>
    <w:uiPriority w:val="99"/>
    <w:unhideWhenUsed/>
    <w:rsid w:val="001253CF"/>
    <w:pPr>
      <w:tabs>
        <w:tab w:val="center" w:pos="4252"/>
        <w:tab w:val="right" w:pos="8504"/>
      </w:tabs>
      <w:snapToGrid w:val="0"/>
    </w:pPr>
  </w:style>
  <w:style w:type="character" w:customStyle="1" w:styleId="a4">
    <w:name w:val="ヘッダー (文字)"/>
    <w:basedOn w:val="a0"/>
    <w:link w:val="a3"/>
    <w:uiPriority w:val="99"/>
    <w:rsid w:val="001253CF"/>
  </w:style>
  <w:style w:type="paragraph" w:styleId="a5">
    <w:name w:val="footer"/>
    <w:basedOn w:val="a"/>
    <w:link w:val="a6"/>
    <w:uiPriority w:val="99"/>
    <w:unhideWhenUsed/>
    <w:rsid w:val="001253CF"/>
    <w:pPr>
      <w:tabs>
        <w:tab w:val="center" w:pos="4252"/>
        <w:tab w:val="right" w:pos="8504"/>
      </w:tabs>
      <w:snapToGrid w:val="0"/>
    </w:pPr>
  </w:style>
  <w:style w:type="character" w:customStyle="1" w:styleId="a6">
    <w:name w:val="フッター (文字)"/>
    <w:basedOn w:val="a0"/>
    <w:link w:val="a5"/>
    <w:uiPriority w:val="99"/>
    <w:rsid w:val="00125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66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7</cp:revision>
  <dcterms:created xsi:type="dcterms:W3CDTF">2025-03-27T11:09:00Z</dcterms:created>
  <dcterms:modified xsi:type="dcterms:W3CDTF">2025-03-27T11:43:00Z</dcterms:modified>
</cp:coreProperties>
</file>